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22" w:rsidRDefault="00021922" w:rsidP="00F07427">
      <w:pPr>
        <w:shd w:val="clear" w:color="auto" w:fill="FFFFFF"/>
        <w:spacing w:before="100" w:beforeAutospacing="1" w:after="100" w:afterAutospacing="1" w:line="240" w:lineRule="auto"/>
        <w:rPr>
          <w:rFonts w:ascii="Arial" w:eastAsia="Times New Roman" w:hAnsi="Arial" w:cs="Arial"/>
          <w:b/>
          <w:color w:val="333333"/>
          <w:szCs w:val="18"/>
          <w:u w:val="single"/>
          <w:lang w:eastAsia="fr-FR"/>
        </w:rPr>
      </w:pPr>
      <w:r>
        <w:rPr>
          <w:noProof/>
          <w:lang w:eastAsia="fr-FR"/>
        </w:rPr>
        <w:drawing>
          <wp:inline distT="0" distB="0" distL="0" distR="0" wp14:anchorId="2D6E7632" wp14:editId="10F75C02">
            <wp:extent cx="1057295" cy="739472"/>
            <wp:effectExtent l="0" t="0" r="0" b="3810"/>
            <wp:docPr id="1" name="Image 1" descr="http://lh4.googleusercontent.com/-RlOBZNVaNHA/T5_bpq5L76I/AAAAAAAAA7Q/2IXTmVh0dWs/s800/in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oogleusercontent.com/-RlOBZNVaNHA/T5_bpq5L76I/AAAAAAAAA7Q/2IXTmVh0dWs/s800/inv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350" cy="739511"/>
                    </a:xfrm>
                    <a:prstGeom prst="rect">
                      <a:avLst/>
                    </a:prstGeom>
                    <a:noFill/>
                    <a:ln>
                      <a:noFill/>
                    </a:ln>
                  </pic:spPr>
                </pic:pic>
              </a:graphicData>
            </a:graphic>
          </wp:inline>
        </w:drawing>
      </w:r>
    </w:p>
    <w:p w:rsidR="00021922" w:rsidRPr="00021922" w:rsidRDefault="00021922" w:rsidP="00021922">
      <w:pPr>
        <w:shd w:val="clear" w:color="auto" w:fill="FFFFFF"/>
        <w:spacing w:before="100" w:beforeAutospacing="1" w:after="100" w:afterAutospacing="1" w:line="240" w:lineRule="auto"/>
        <w:jc w:val="center"/>
        <w:rPr>
          <w:rFonts w:ascii="Arial" w:eastAsia="Times New Roman" w:hAnsi="Arial" w:cs="Arial"/>
          <w:b/>
          <w:color w:val="333333"/>
          <w:szCs w:val="18"/>
          <w:u w:val="single"/>
          <w:lang w:eastAsia="fr-FR"/>
        </w:rPr>
      </w:pPr>
      <w:r w:rsidRPr="00021922">
        <w:rPr>
          <w:rFonts w:ascii="Arial" w:eastAsia="Times New Roman" w:hAnsi="Arial" w:cs="Arial"/>
          <w:b/>
          <w:color w:val="333333"/>
          <w:szCs w:val="18"/>
          <w:u w:val="single"/>
          <w:lang w:eastAsia="fr-FR"/>
        </w:rPr>
        <w:t>Surveillance des infections à virus Ebola</w:t>
      </w:r>
    </w:p>
    <w:p w:rsidR="00BF0AA4" w:rsidRDefault="00BF0AA4" w:rsidP="000973E3">
      <w:pPr>
        <w:shd w:val="clear" w:color="auto" w:fill="FFFFFF"/>
        <w:spacing w:before="100" w:beforeAutospacing="1" w:after="100" w:afterAutospacing="1" w:line="240" w:lineRule="auto"/>
        <w:jc w:val="center"/>
        <w:rPr>
          <w:rFonts w:ascii="Arial" w:eastAsia="Times New Roman" w:hAnsi="Arial" w:cs="Arial"/>
          <w:b/>
          <w:color w:val="333333"/>
          <w:szCs w:val="18"/>
          <w:u w:val="single"/>
          <w:lang w:eastAsia="fr-FR"/>
        </w:rPr>
      </w:pPr>
      <w:r w:rsidRPr="00A01F77">
        <w:rPr>
          <w:rFonts w:ascii="Arial" w:eastAsia="Times New Roman" w:hAnsi="Arial" w:cs="Arial"/>
          <w:b/>
          <w:color w:val="333333"/>
          <w:szCs w:val="18"/>
          <w:u w:val="single"/>
          <w:lang w:eastAsia="fr-FR"/>
        </w:rPr>
        <w:t>Définition de cas</w:t>
      </w:r>
      <w:r w:rsidR="001D4F55">
        <w:rPr>
          <w:rFonts w:ascii="Arial" w:eastAsia="Times New Roman" w:hAnsi="Arial" w:cs="Arial"/>
          <w:b/>
          <w:color w:val="333333"/>
          <w:szCs w:val="18"/>
          <w:u w:val="single"/>
          <w:lang w:eastAsia="fr-FR"/>
        </w:rPr>
        <w:t xml:space="preserve"> au </w:t>
      </w:r>
      <w:r w:rsidR="00C37456">
        <w:rPr>
          <w:rFonts w:ascii="Arial" w:eastAsia="Times New Roman" w:hAnsi="Arial" w:cs="Arial"/>
          <w:b/>
          <w:color w:val="333333"/>
          <w:szCs w:val="18"/>
          <w:u w:val="single"/>
          <w:lang w:eastAsia="fr-FR"/>
        </w:rPr>
        <w:t>2</w:t>
      </w:r>
      <w:r w:rsidR="007C68F9">
        <w:rPr>
          <w:rFonts w:ascii="Arial" w:eastAsia="Times New Roman" w:hAnsi="Arial" w:cs="Arial"/>
          <w:b/>
          <w:color w:val="333333"/>
          <w:szCs w:val="18"/>
          <w:u w:val="single"/>
          <w:lang w:eastAsia="fr-FR"/>
        </w:rPr>
        <w:t>0</w:t>
      </w:r>
      <w:r w:rsidR="00C37456">
        <w:rPr>
          <w:rFonts w:ascii="Arial" w:eastAsia="Times New Roman" w:hAnsi="Arial" w:cs="Arial"/>
          <w:b/>
          <w:color w:val="333333"/>
          <w:szCs w:val="18"/>
          <w:u w:val="single"/>
          <w:lang w:eastAsia="fr-FR"/>
        </w:rPr>
        <w:t xml:space="preserve"> octobre</w:t>
      </w:r>
      <w:r w:rsidR="001D4F55">
        <w:rPr>
          <w:rFonts w:ascii="Arial" w:eastAsia="Times New Roman" w:hAnsi="Arial" w:cs="Arial"/>
          <w:b/>
          <w:color w:val="333333"/>
          <w:szCs w:val="18"/>
          <w:u w:val="single"/>
          <w:lang w:eastAsia="fr-FR"/>
        </w:rPr>
        <w:t xml:space="preserve"> 2014</w:t>
      </w:r>
    </w:p>
    <w:p w:rsidR="00CE1EFD" w:rsidRPr="00A01F77" w:rsidRDefault="00CE1EFD" w:rsidP="000973E3">
      <w:pPr>
        <w:shd w:val="clear" w:color="auto" w:fill="FFFFFF"/>
        <w:spacing w:before="100" w:beforeAutospacing="1" w:after="100" w:afterAutospacing="1" w:line="240" w:lineRule="auto"/>
        <w:jc w:val="center"/>
        <w:rPr>
          <w:rFonts w:ascii="Arial" w:eastAsia="Times New Roman" w:hAnsi="Arial" w:cs="Arial"/>
          <w:b/>
          <w:color w:val="333333"/>
          <w:szCs w:val="18"/>
          <w:u w:val="single"/>
          <w:lang w:eastAsia="fr-FR"/>
        </w:rPr>
      </w:pPr>
    </w:p>
    <w:p w:rsidR="00BF0AA4" w:rsidRPr="00A01F77" w:rsidRDefault="002D10C4" w:rsidP="00BF0AA4">
      <w:pPr>
        <w:spacing w:line="240" w:lineRule="auto"/>
        <w:rPr>
          <w:rFonts w:ascii="Arial" w:hAnsi="Arial" w:cs="Arial"/>
          <w:b/>
          <w:bCs/>
          <w:sz w:val="18"/>
        </w:rPr>
      </w:pPr>
      <w:r>
        <w:rPr>
          <w:rFonts w:ascii="Arial" w:hAnsi="Arial" w:cs="Arial"/>
          <w:b/>
          <w:bCs/>
          <w:sz w:val="18"/>
        </w:rPr>
        <w:t>Patient</w:t>
      </w:r>
      <w:r w:rsidR="00BF0AA4" w:rsidRPr="00A01F77">
        <w:rPr>
          <w:rFonts w:ascii="Arial" w:hAnsi="Arial" w:cs="Arial"/>
          <w:b/>
          <w:bCs/>
          <w:sz w:val="18"/>
        </w:rPr>
        <w:t xml:space="preserve"> suspect</w:t>
      </w:r>
    </w:p>
    <w:p w:rsidR="006A43BD" w:rsidRPr="00CE1EFD" w:rsidRDefault="00BF0AA4" w:rsidP="00BF0AA4">
      <w:pPr>
        <w:spacing w:line="240" w:lineRule="auto"/>
        <w:rPr>
          <w:rFonts w:ascii="Arial" w:hAnsi="Arial" w:cs="Arial"/>
          <w:b/>
          <w:sz w:val="18"/>
          <w:u w:val="single"/>
        </w:rPr>
      </w:pPr>
      <w:r w:rsidRPr="00A01F77">
        <w:rPr>
          <w:rFonts w:ascii="Arial" w:hAnsi="Arial" w:cs="Arial"/>
          <w:sz w:val="18"/>
        </w:rPr>
        <w:t xml:space="preserve">Un </w:t>
      </w:r>
      <w:r w:rsidR="002D10C4">
        <w:rPr>
          <w:rFonts w:ascii="Arial" w:hAnsi="Arial" w:cs="Arial"/>
          <w:sz w:val="18"/>
        </w:rPr>
        <w:t>patient</w:t>
      </w:r>
      <w:r w:rsidRPr="00A01F77">
        <w:rPr>
          <w:rFonts w:ascii="Arial" w:hAnsi="Arial" w:cs="Arial"/>
          <w:sz w:val="18"/>
        </w:rPr>
        <w:t xml:space="preserve"> suspect est défini comme toute personne présentant, dans un délai de </w:t>
      </w:r>
      <w:r w:rsidRPr="00CE1EFD">
        <w:rPr>
          <w:rFonts w:ascii="Arial" w:hAnsi="Arial" w:cs="Arial"/>
          <w:b/>
          <w:sz w:val="18"/>
          <w:u w:val="single"/>
        </w:rPr>
        <w:t>21 jours</w:t>
      </w:r>
      <w:r w:rsidRPr="00A01F77">
        <w:rPr>
          <w:rFonts w:ascii="Arial" w:hAnsi="Arial" w:cs="Arial"/>
          <w:sz w:val="18"/>
        </w:rPr>
        <w:t xml:space="preserve"> après son retour de la </w:t>
      </w:r>
      <w:r w:rsidRPr="00CE1EFD">
        <w:rPr>
          <w:rFonts w:ascii="Arial" w:hAnsi="Arial" w:cs="Arial"/>
          <w:b/>
          <w:sz w:val="18"/>
          <w:u w:val="single"/>
        </w:rPr>
        <w:t>zone à risque</w:t>
      </w:r>
      <w:r w:rsidRPr="00A01F77">
        <w:rPr>
          <w:rFonts w:ascii="Arial" w:hAnsi="Arial" w:cs="Arial"/>
          <w:sz w:val="18"/>
        </w:rPr>
        <w:t xml:space="preserve">*, une fièvre </w:t>
      </w:r>
      <w:r w:rsidR="00CE1EFD">
        <w:rPr>
          <w:rFonts w:ascii="Arial" w:hAnsi="Arial" w:cs="Arial"/>
          <w:sz w:val="18"/>
        </w:rPr>
        <w:t xml:space="preserve">mesurée par un soignant </w:t>
      </w:r>
      <w:r w:rsidRPr="00CE1EFD">
        <w:rPr>
          <w:rFonts w:ascii="Arial" w:hAnsi="Arial" w:cs="Arial"/>
          <w:b/>
          <w:sz w:val="18"/>
          <w:u w:val="single"/>
        </w:rPr>
        <w:t>supérieure</w:t>
      </w:r>
      <w:r w:rsidR="00823343">
        <w:rPr>
          <w:rFonts w:ascii="Arial" w:hAnsi="Arial" w:cs="Arial"/>
          <w:b/>
          <w:sz w:val="18"/>
          <w:u w:val="single"/>
        </w:rPr>
        <w:t xml:space="preserve"> ou égale</w:t>
      </w:r>
      <w:r w:rsidRPr="00CE1EFD">
        <w:rPr>
          <w:rFonts w:ascii="Arial" w:hAnsi="Arial" w:cs="Arial"/>
          <w:b/>
          <w:sz w:val="18"/>
          <w:u w:val="single"/>
        </w:rPr>
        <w:t xml:space="preserve"> </w:t>
      </w:r>
      <w:r w:rsidR="00CE1EFD" w:rsidRPr="00CE1EFD">
        <w:rPr>
          <w:rFonts w:ascii="Arial" w:hAnsi="Arial" w:cs="Arial"/>
          <w:b/>
          <w:sz w:val="18"/>
          <w:u w:val="single"/>
        </w:rPr>
        <w:t>à 38</w:t>
      </w:r>
      <w:r w:rsidRPr="00CE1EFD">
        <w:rPr>
          <w:rFonts w:ascii="Arial" w:hAnsi="Arial" w:cs="Arial"/>
          <w:b/>
          <w:sz w:val="18"/>
          <w:u w:val="single"/>
        </w:rPr>
        <w:t>°C</w:t>
      </w:r>
    </w:p>
    <w:tbl>
      <w:tblPr>
        <w:tblStyle w:val="Grilledutableau"/>
        <w:tblW w:w="0" w:type="auto"/>
        <w:tblLook w:val="04A0" w:firstRow="1" w:lastRow="0" w:firstColumn="1" w:lastColumn="0" w:noHBand="0" w:noVBand="1"/>
      </w:tblPr>
      <w:tblGrid>
        <w:gridCol w:w="9212"/>
      </w:tblGrid>
      <w:tr w:rsidR="006A43BD" w:rsidTr="006A43BD">
        <w:tc>
          <w:tcPr>
            <w:tcW w:w="9212" w:type="dxa"/>
          </w:tcPr>
          <w:p w:rsidR="006A43BD" w:rsidRDefault="006A43BD" w:rsidP="006A43BD">
            <w:pPr>
              <w:rPr>
                <w:rFonts w:ascii="Arial" w:hAnsi="Arial" w:cs="Arial"/>
                <w:sz w:val="18"/>
              </w:rPr>
            </w:pPr>
          </w:p>
          <w:p w:rsidR="006A43BD" w:rsidRDefault="006A43BD" w:rsidP="006A43BD">
            <w:pPr>
              <w:rPr>
                <w:rFonts w:ascii="Arial" w:hAnsi="Arial" w:cs="Arial"/>
                <w:sz w:val="18"/>
              </w:rPr>
            </w:pPr>
            <w:r w:rsidRPr="00A01F77">
              <w:rPr>
                <w:rFonts w:ascii="Arial" w:hAnsi="Arial" w:cs="Arial"/>
                <w:sz w:val="18"/>
              </w:rPr>
              <w:t xml:space="preserve">*  La zone à risque est définie au </w:t>
            </w:r>
            <w:r w:rsidR="009C49AB">
              <w:rPr>
                <w:rFonts w:ascii="Arial" w:hAnsi="Arial" w:cs="Arial"/>
                <w:sz w:val="18"/>
              </w:rPr>
              <w:t>02/10</w:t>
            </w:r>
            <w:r w:rsidRPr="00A01F77">
              <w:rPr>
                <w:rFonts w:ascii="Arial" w:hAnsi="Arial" w:cs="Arial"/>
                <w:sz w:val="18"/>
              </w:rPr>
              <w:t>/14 comme les pays suivants :</w:t>
            </w:r>
            <w:r>
              <w:rPr>
                <w:rFonts w:ascii="Arial" w:hAnsi="Arial" w:cs="Arial"/>
                <w:sz w:val="18"/>
              </w:rPr>
              <w:t xml:space="preserve"> </w:t>
            </w:r>
          </w:p>
          <w:p w:rsidR="006A43BD" w:rsidRDefault="006A43BD" w:rsidP="006A43BD">
            <w:pPr>
              <w:rPr>
                <w:rFonts w:ascii="Arial" w:hAnsi="Arial" w:cs="Arial"/>
                <w:sz w:val="18"/>
              </w:rPr>
            </w:pPr>
            <w:r>
              <w:rPr>
                <w:rFonts w:ascii="Arial" w:hAnsi="Arial" w:cs="Arial"/>
                <w:sz w:val="18"/>
              </w:rPr>
              <w:t>- en Afrique de l’Ouest : Sierra Leone, Guinée Conakry</w:t>
            </w:r>
            <w:r w:rsidR="007C68F9">
              <w:rPr>
                <w:rFonts w:ascii="Arial" w:hAnsi="Arial" w:cs="Arial"/>
                <w:sz w:val="18"/>
              </w:rPr>
              <w:t xml:space="preserve"> et</w:t>
            </w:r>
            <w:r w:rsidRPr="00A01F77">
              <w:rPr>
                <w:rFonts w:ascii="Arial" w:hAnsi="Arial" w:cs="Arial"/>
                <w:sz w:val="18"/>
              </w:rPr>
              <w:t xml:space="preserve"> Libéria</w:t>
            </w:r>
            <w:r>
              <w:rPr>
                <w:rFonts w:ascii="Arial" w:hAnsi="Arial" w:cs="Arial"/>
                <w:sz w:val="18"/>
              </w:rPr>
              <w:t xml:space="preserve"> </w:t>
            </w:r>
          </w:p>
          <w:p w:rsidR="006A43BD" w:rsidRDefault="006A43BD" w:rsidP="006A43BD">
            <w:pPr>
              <w:rPr>
                <w:rFonts w:ascii="Arial" w:hAnsi="Arial" w:cs="Arial"/>
                <w:sz w:val="18"/>
              </w:rPr>
            </w:pPr>
            <w:r>
              <w:rPr>
                <w:rFonts w:ascii="Arial" w:hAnsi="Arial" w:cs="Arial"/>
                <w:sz w:val="18"/>
              </w:rPr>
              <w:t xml:space="preserve">- en République démocratique du Congo </w:t>
            </w:r>
            <w:r w:rsidRPr="00A01F77">
              <w:rPr>
                <w:rFonts w:ascii="Arial" w:hAnsi="Arial" w:cs="Arial"/>
                <w:sz w:val="18"/>
              </w:rPr>
              <w:t xml:space="preserve"> </w:t>
            </w:r>
            <w:r>
              <w:rPr>
                <w:rFonts w:ascii="Arial" w:hAnsi="Arial" w:cs="Arial"/>
                <w:sz w:val="18"/>
              </w:rPr>
              <w:t>(« Congo-Kinshasa ») : province de l’Equateur</w:t>
            </w:r>
            <w:r w:rsidR="007C0088">
              <w:rPr>
                <w:rFonts w:ascii="Arial" w:hAnsi="Arial" w:cs="Arial"/>
                <w:sz w:val="18"/>
              </w:rPr>
              <w:t xml:space="preserve"> (Nord-Ouest du pays)</w:t>
            </w:r>
            <w:r>
              <w:rPr>
                <w:rFonts w:ascii="Arial" w:hAnsi="Arial" w:cs="Arial"/>
                <w:sz w:val="18"/>
              </w:rPr>
              <w:t xml:space="preserve">. </w:t>
            </w:r>
          </w:p>
          <w:p w:rsidR="006A43BD" w:rsidRDefault="006A43BD" w:rsidP="006A43BD">
            <w:pPr>
              <w:rPr>
                <w:rFonts w:ascii="Arial" w:hAnsi="Arial" w:cs="Arial"/>
                <w:sz w:val="18"/>
              </w:rPr>
            </w:pPr>
          </w:p>
          <w:p w:rsidR="006A43BD" w:rsidRDefault="006A43BD" w:rsidP="006A43BD">
            <w:pPr>
              <w:rPr>
                <w:rFonts w:ascii="Arial" w:hAnsi="Arial" w:cs="Arial"/>
                <w:sz w:val="18"/>
              </w:rPr>
            </w:pPr>
            <w:r>
              <w:rPr>
                <w:rFonts w:ascii="Arial" w:hAnsi="Arial" w:cs="Arial"/>
                <w:sz w:val="18"/>
              </w:rPr>
              <w:t>Ces 2 épidémies sont distinctes.</w:t>
            </w:r>
          </w:p>
          <w:p w:rsidR="007C68F9" w:rsidRDefault="007C68F9" w:rsidP="006A43BD">
            <w:pPr>
              <w:rPr>
                <w:rFonts w:ascii="Arial" w:hAnsi="Arial" w:cs="Arial"/>
                <w:sz w:val="18"/>
              </w:rPr>
            </w:pPr>
          </w:p>
          <w:p w:rsidR="007C68F9" w:rsidRPr="007C68F9" w:rsidRDefault="007C68F9" w:rsidP="006A43BD">
            <w:pPr>
              <w:rPr>
                <w:rFonts w:ascii="Arial" w:hAnsi="Arial" w:cs="Arial"/>
                <w:b/>
                <w:color w:val="FF0000"/>
                <w:sz w:val="18"/>
              </w:rPr>
            </w:pPr>
            <w:r w:rsidRPr="007C68F9">
              <w:rPr>
                <w:rFonts w:ascii="Arial" w:hAnsi="Arial" w:cs="Arial"/>
                <w:b/>
                <w:color w:val="FF0000"/>
                <w:sz w:val="18"/>
              </w:rPr>
              <w:t>A partir du 20 octobre</w:t>
            </w:r>
            <w:r>
              <w:rPr>
                <w:rFonts w:ascii="Arial" w:hAnsi="Arial" w:cs="Arial"/>
                <w:b/>
                <w:color w:val="FF0000"/>
                <w:sz w:val="18"/>
              </w:rPr>
              <w:t xml:space="preserve"> 2014</w:t>
            </w:r>
            <w:r w:rsidRPr="007C68F9">
              <w:rPr>
                <w:rFonts w:ascii="Arial" w:hAnsi="Arial" w:cs="Arial"/>
                <w:b/>
                <w:color w:val="FF0000"/>
                <w:sz w:val="18"/>
              </w:rPr>
              <w:t xml:space="preserve">, le Nigeria ne fait plus partie de la zone à risque </w:t>
            </w:r>
          </w:p>
          <w:p w:rsidR="006A43BD" w:rsidRDefault="006A43BD" w:rsidP="00BF0AA4">
            <w:pPr>
              <w:rPr>
                <w:rFonts w:ascii="Arial" w:hAnsi="Arial" w:cs="Arial"/>
                <w:sz w:val="18"/>
              </w:rPr>
            </w:pPr>
          </w:p>
        </w:tc>
      </w:tr>
    </w:tbl>
    <w:p w:rsidR="00BF0AA4" w:rsidRPr="00A01F77" w:rsidRDefault="00BF0AA4" w:rsidP="00BF0AA4">
      <w:pPr>
        <w:spacing w:line="240" w:lineRule="auto"/>
        <w:rPr>
          <w:rFonts w:ascii="Arial" w:hAnsi="Arial" w:cs="Arial"/>
          <w:sz w:val="18"/>
        </w:rPr>
      </w:pPr>
    </w:p>
    <w:p w:rsidR="00BF0AA4" w:rsidRDefault="005E6EBF" w:rsidP="00BF0AA4">
      <w:pPr>
        <w:spacing w:line="240" w:lineRule="auto"/>
        <w:rPr>
          <w:rFonts w:ascii="Arial" w:hAnsi="Arial" w:cs="Arial"/>
          <w:b/>
          <w:bCs/>
          <w:sz w:val="18"/>
        </w:rPr>
      </w:pPr>
      <w:r>
        <w:rPr>
          <w:rFonts w:ascii="Arial" w:hAnsi="Arial" w:cs="Arial"/>
          <w:b/>
          <w:bCs/>
          <w:sz w:val="18"/>
        </w:rPr>
        <w:t>Cas</w:t>
      </w:r>
      <w:r w:rsidR="00BF0AA4" w:rsidRPr="00A01F77">
        <w:rPr>
          <w:rFonts w:ascii="Arial" w:hAnsi="Arial" w:cs="Arial"/>
          <w:b/>
          <w:bCs/>
          <w:sz w:val="18"/>
        </w:rPr>
        <w:t xml:space="preserve"> possible</w:t>
      </w:r>
    </w:p>
    <w:p w:rsidR="00BF0AA4" w:rsidRPr="00A01F77" w:rsidRDefault="00BF0AA4" w:rsidP="00BF0AA4">
      <w:pPr>
        <w:spacing w:line="240" w:lineRule="auto"/>
        <w:rPr>
          <w:rFonts w:ascii="Arial" w:hAnsi="Arial" w:cs="Arial"/>
          <w:sz w:val="18"/>
        </w:rPr>
      </w:pPr>
      <w:r w:rsidRPr="00A01F77">
        <w:rPr>
          <w:rFonts w:ascii="Arial" w:hAnsi="Arial" w:cs="Arial"/>
          <w:sz w:val="18"/>
        </w:rPr>
        <w:t xml:space="preserve">Un </w:t>
      </w:r>
      <w:r w:rsidR="002D10C4">
        <w:rPr>
          <w:rFonts w:ascii="Arial" w:hAnsi="Arial" w:cs="Arial"/>
          <w:sz w:val="18"/>
        </w:rPr>
        <w:t>patient</w:t>
      </w:r>
      <w:r w:rsidRPr="00A01F77">
        <w:rPr>
          <w:rFonts w:ascii="Arial" w:hAnsi="Arial" w:cs="Arial"/>
          <w:sz w:val="18"/>
        </w:rPr>
        <w:t xml:space="preserve"> possible est défini comme toute personne présentant</w:t>
      </w:r>
      <w:r w:rsidR="00D667B7" w:rsidRPr="00A01F77">
        <w:rPr>
          <w:rFonts w:ascii="Arial" w:hAnsi="Arial" w:cs="Arial"/>
          <w:sz w:val="18"/>
        </w:rPr>
        <w:t>, dans un délai de 21 jours après son retour de la zone à risque*, une fièvre supérieure</w:t>
      </w:r>
      <w:r w:rsidR="00823343">
        <w:rPr>
          <w:rFonts w:ascii="Arial" w:hAnsi="Arial" w:cs="Arial"/>
          <w:sz w:val="18"/>
        </w:rPr>
        <w:t xml:space="preserve"> ou égale</w:t>
      </w:r>
      <w:r w:rsidR="00D667B7" w:rsidRPr="00A01F77">
        <w:rPr>
          <w:rFonts w:ascii="Arial" w:hAnsi="Arial" w:cs="Arial"/>
          <w:sz w:val="18"/>
        </w:rPr>
        <w:t xml:space="preserve"> </w:t>
      </w:r>
      <w:r w:rsidR="00EB0930">
        <w:rPr>
          <w:rFonts w:ascii="Arial" w:hAnsi="Arial" w:cs="Arial"/>
          <w:sz w:val="18"/>
        </w:rPr>
        <w:t>à 38</w:t>
      </w:r>
      <w:r w:rsidR="00D667B7" w:rsidRPr="00A01F77">
        <w:rPr>
          <w:rFonts w:ascii="Arial" w:hAnsi="Arial" w:cs="Arial"/>
          <w:sz w:val="18"/>
        </w:rPr>
        <w:t xml:space="preserve">°C </w:t>
      </w:r>
      <w:r w:rsidRPr="00A01F77">
        <w:rPr>
          <w:rFonts w:ascii="Arial" w:hAnsi="Arial" w:cs="Arial"/>
          <w:sz w:val="18"/>
        </w:rPr>
        <w:t>et</w:t>
      </w:r>
    </w:p>
    <w:p w:rsidR="00D022C1" w:rsidRDefault="00D022C1" w:rsidP="00D022C1">
      <w:pPr>
        <w:pStyle w:val="Paragraphedeliste"/>
        <w:numPr>
          <w:ilvl w:val="0"/>
          <w:numId w:val="1"/>
        </w:numPr>
        <w:spacing w:line="240" w:lineRule="auto"/>
        <w:rPr>
          <w:rFonts w:ascii="Arial" w:hAnsi="Arial" w:cs="Arial"/>
          <w:sz w:val="18"/>
        </w:rPr>
      </w:pPr>
      <w:r w:rsidRPr="00A01F77">
        <w:rPr>
          <w:rFonts w:ascii="Arial" w:hAnsi="Arial" w:cs="Arial"/>
          <w:sz w:val="18"/>
        </w:rPr>
        <w:t>Pour laquelle une exposition à risque a pu être établie dans un délai de 21 jours avant le début des symptômes,</w:t>
      </w:r>
    </w:p>
    <w:p w:rsidR="00D022C1" w:rsidRPr="009435BA" w:rsidRDefault="00D022C1" w:rsidP="00D022C1">
      <w:pPr>
        <w:pStyle w:val="Paragraphedeliste"/>
        <w:spacing w:line="240" w:lineRule="auto"/>
        <w:rPr>
          <w:rFonts w:ascii="Arial" w:hAnsi="Arial" w:cs="Arial"/>
          <w:sz w:val="18"/>
        </w:rPr>
      </w:pPr>
    </w:p>
    <w:p w:rsidR="00D022C1" w:rsidRDefault="00D022C1" w:rsidP="00D022C1">
      <w:pPr>
        <w:pStyle w:val="Paragraphedeliste"/>
        <w:spacing w:line="240" w:lineRule="auto"/>
        <w:rPr>
          <w:rFonts w:ascii="Arial" w:hAnsi="Arial" w:cs="Arial"/>
          <w:sz w:val="18"/>
        </w:rPr>
      </w:pPr>
      <w:r w:rsidRPr="00A01F77">
        <w:rPr>
          <w:rFonts w:ascii="Arial" w:hAnsi="Arial" w:cs="Arial"/>
          <w:sz w:val="18"/>
        </w:rPr>
        <w:t xml:space="preserve">Les expositions à risque sont définies de la manière suivante : </w:t>
      </w:r>
    </w:p>
    <w:p w:rsidR="000973E3" w:rsidRPr="00A01F77" w:rsidRDefault="000973E3" w:rsidP="00D022C1">
      <w:pPr>
        <w:pStyle w:val="Paragraphedeliste"/>
        <w:spacing w:line="240" w:lineRule="auto"/>
        <w:rPr>
          <w:rFonts w:ascii="Arial" w:hAnsi="Arial" w:cs="Arial"/>
          <w:sz w:val="18"/>
        </w:rPr>
      </w:pPr>
    </w:p>
    <w:p w:rsidR="000973E3" w:rsidRPr="000973E3" w:rsidRDefault="00D022C1" w:rsidP="000973E3">
      <w:pPr>
        <w:pStyle w:val="Paragraphedeliste"/>
        <w:numPr>
          <w:ilvl w:val="0"/>
          <w:numId w:val="2"/>
        </w:numPr>
        <w:spacing w:before="120" w:line="360" w:lineRule="auto"/>
        <w:ind w:left="714" w:hanging="357"/>
        <w:rPr>
          <w:rFonts w:ascii="Arial" w:hAnsi="Arial" w:cs="Arial"/>
          <w:sz w:val="18"/>
        </w:rPr>
      </w:pPr>
      <w:r w:rsidRPr="00A01F77">
        <w:rPr>
          <w:rFonts w:ascii="Arial" w:hAnsi="Arial" w:cs="Arial"/>
          <w:sz w:val="18"/>
        </w:rPr>
        <w:t xml:space="preserve">Contact avec le sang ou un autre fluide corporel d’un patient infecté, ou </w:t>
      </w:r>
      <w:r>
        <w:rPr>
          <w:rFonts w:ascii="Arial" w:hAnsi="Arial" w:cs="Arial"/>
          <w:sz w:val="18"/>
        </w:rPr>
        <w:t xml:space="preserve">une  personne </w:t>
      </w:r>
      <w:r w:rsidRPr="00A01F77">
        <w:rPr>
          <w:rFonts w:ascii="Arial" w:hAnsi="Arial" w:cs="Arial"/>
          <w:sz w:val="18"/>
        </w:rPr>
        <w:t>suspecté</w:t>
      </w:r>
      <w:r>
        <w:rPr>
          <w:rFonts w:ascii="Arial" w:hAnsi="Arial" w:cs="Arial"/>
          <w:sz w:val="18"/>
        </w:rPr>
        <w:t>e</w:t>
      </w:r>
      <w:r w:rsidRPr="00A01F77">
        <w:rPr>
          <w:rFonts w:ascii="Arial" w:hAnsi="Arial" w:cs="Arial"/>
          <w:sz w:val="18"/>
        </w:rPr>
        <w:t xml:space="preserve"> d’être infecté</w:t>
      </w:r>
      <w:r>
        <w:rPr>
          <w:rFonts w:ascii="Arial" w:hAnsi="Arial" w:cs="Arial"/>
          <w:sz w:val="18"/>
        </w:rPr>
        <w:t>e</w:t>
      </w:r>
      <w:r w:rsidRPr="00A01F77">
        <w:rPr>
          <w:rFonts w:ascii="Arial" w:hAnsi="Arial" w:cs="Arial"/>
          <w:sz w:val="18"/>
        </w:rPr>
        <w:t xml:space="preserve"> par le virus Ebola,</w:t>
      </w:r>
      <w:r w:rsidR="000973E3">
        <w:rPr>
          <w:rFonts w:ascii="Arial" w:hAnsi="Arial" w:cs="Arial"/>
          <w:sz w:val="18"/>
        </w:rPr>
        <w:t xml:space="preserve"> à titre personnel ou professionnel</w:t>
      </w:r>
    </w:p>
    <w:p w:rsidR="000973E3" w:rsidRDefault="000973E3" w:rsidP="000973E3">
      <w:pPr>
        <w:pStyle w:val="Paragraphedeliste"/>
        <w:numPr>
          <w:ilvl w:val="0"/>
          <w:numId w:val="2"/>
        </w:numPr>
        <w:spacing w:before="120" w:line="360" w:lineRule="auto"/>
        <w:ind w:left="714" w:hanging="357"/>
        <w:rPr>
          <w:rFonts w:ascii="Arial" w:hAnsi="Arial" w:cs="Arial"/>
          <w:sz w:val="18"/>
        </w:rPr>
      </w:pPr>
      <w:r w:rsidRPr="00A01F77">
        <w:rPr>
          <w:rFonts w:ascii="Arial" w:hAnsi="Arial" w:cs="Arial"/>
          <w:sz w:val="18"/>
        </w:rPr>
        <w:t>Prise en charge pour une autre pathologie ou visite dans un hôpital ayant reçu des patients infectés par le virus Ebola</w:t>
      </w:r>
    </w:p>
    <w:p w:rsidR="000973E3" w:rsidRPr="000973E3" w:rsidRDefault="00D022C1" w:rsidP="000973E3">
      <w:pPr>
        <w:pStyle w:val="Paragraphedeliste"/>
        <w:numPr>
          <w:ilvl w:val="0"/>
          <w:numId w:val="2"/>
        </w:numPr>
        <w:spacing w:before="120" w:line="360" w:lineRule="auto"/>
        <w:ind w:left="714" w:hanging="357"/>
        <w:rPr>
          <w:rFonts w:ascii="Arial" w:hAnsi="Arial" w:cs="Arial"/>
          <w:sz w:val="18"/>
        </w:rPr>
      </w:pPr>
      <w:r w:rsidRPr="00A01F77">
        <w:rPr>
          <w:rFonts w:ascii="Arial" w:hAnsi="Arial" w:cs="Arial"/>
          <w:sz w:val="18"/>
        </w:rPr>
        <w:t xml:space="preserve">Contact direct avec une personne présentant un syndrome hémorragique ou avec le corps d’un défunt, dans la zone à risque* </w:t>
      </w:r>
    </w:p>
    <w:p w:rsidR="000973E3" w:rsidRPr="00A01F77" w:rsidRDefault="000973E3" w:rsidP="000973E3">
      <w:pPr>
        <w:pStyle w:val="Paragraphedeliste"/>
        <w:numPr>
          <w:ilvl w:val="0"/>
          <w:numId w:val="2"/>
        </w:numPr>
        <w:spacing w:before="120" w:line="360" w:lineRule="auto"/>
        <w:ind w:left="714" w:hanging="357"/>
        <w:rPr>
          <w:rFonts w:ascii="Arial" w:hAnsi="Arial" w:cs="Arial"/>
          <w:sz w:val="18"/>
        </w:rPr>
      </w:pPr>
      <w:r w:rsidRPr="00A01F77">
        <w:rPr>
          <w:rFonts w:ascii="Arial" w:hAnsi="Arial" w:cs="Arial"/>
          <w:sz w:val="18"/>
        </w:rPr>
        <w:t>Manipulation ou consommation de viande issue de la chasse, crue ou peu cuite, dans la zone à risque*</w:t>
      </w:r>
    </w:p>
    <w:p w:rsidR="000973E3" w:rsidRPr="000973E3" w:rsidRDefault="00D022C1" w:rsidP="000973E3">
      <w:pPr>
        <w:pStyle w:val="Paragraphedeliste"/>
        <w:numPr>
          <w:ilvl w:val="0"/>
          <w:numId w:val="2"/>
        </w:numPr>
        <w:spacing w:before="120" w:line="360" w:lineRule="auto"/>
        <w:ind w:left="714" w:hanging="357"/>
        <w:rPr>
          <w:rFonts w:ascii="Arial" w:hAnsi="Arial" w:cs="Arial"/>
          <w:sz w:val="18"/>
        </w:rPr>
      </w:pPr>
      <w:r w:rsidRPr="00A01F77">
        <w:rPr>
          <w:rFonts w:ascii="Arial" w:hAnsi="Arial" w:cs="Arial"/>
          <w:sz w:val="18"/>
        </w:rPr>
        <w:t>Travail dans un laboratoire qui détient des souches de virus Ebola ou des échantillons contenant le virus Ebola,</w:t>
      </w:r>
    </w:p>
    <w:p w:rsidR="00D022C1" w:rsidRPr="00A01F77" w:rsidRDefault="00D022C1" w:rsidP="000973E3">
      <w:pPr>
        <w:pStyle w:val="Paragraphedeliste"/>
        <w:numPr>
          <w:ilvl w:val="0"/>
          <w:numId w:val="2"/>
        </w:numPr>
        <w:spacing w:before="120" w:line="360" w:lineRule="auto"/>
        <w:ind w:left="714" w:hanging="357"/>
        <w:rPr>
          <w:rFonts w:ascii="Arial" w:hAnsi="Arial" w:cs="Arial"/>
          <w:sz w:val="18"/>
        </w:rPr>
      </w:pPr>
      <w:r w:rsidRPr="00A01F77">
        <w:rPr>
          <w:rFonts w:ascii="Arial" w:hAnsi="Arial" w:cs="Arial"/>
          <w:sz w:val="18"/>
        </w:rPr>
        <w:t>Travail dans un laboratoire qui détient des chauves-souris, des rongeurs ou des primates non humains originaires d’une zone d’épidémie d’Ebola,</w:t>
      </w:r>
    </w:p>
    <w:p w:rsidR="00D022C1" w:rsidRPr="00A01F77" w:rsidRDefault="00D022C1" w:rsidP="000973E3">
      <w:pPr>
        <w:pStyle w:val="Paragraphedeliste"/>
        <w:numPr>
          <w:ilvl w:val="0"/>
          <w:numId w:val="2"/>
        </w:numPr>
        <w:spacing w:before="120" w:line="360" w:lineRule="auto"/>
        <w:ind w:left="714" w:hanging="357"/>
        <w:rPr>
          <w:rFonts w:ascii="Arial" w:hAnsi="Arial" w:cs="Arial"/>
          <w:sz w:val="18"/>
        </w:rPr>
      </w:pPr>
      <w:r w:rsidRPr="00A01F77">
        <w:rPr>
          <w:rFonts w:ascii="Arial" w:hAnsi="Arial" w:cs="Arial"/>
          <w:sz w:val="18"/>
        </w:rPr>
        <w:t>Contact direct avec une chauve-souris, des rongeurs, des primates non humains ou d’autres animaux sauvages dans la zone à risque*, ou en provenance de la zone à risque*</w:t>
      </w:r>
    </w:p>
    <w:p w:rsidR="00D022C1" w:rsidRPr="00A01F77" w:rsidRDefault="00D022C1" w:rsidP="000973E3">
      <w:pPr>
        <w:pStyle w:val="Paragraphedeliste"/>
        <w:numPr>
          <w:ilvl w:val="0"/>
          <w:numId w:val="2"/>
        </w:numPr>
        <w:spacing w:before="120" w:line="360" w:lineRule="auto"/>
        <w:ind w:left="714" w:hanging="357"/>
        <w:rPr>
          <w:rFonts w:ascii="Arial" w:hAnsi="Arial" w:cs="Arial"/>
          <w:sz w:val="18"/>
        </w:rPr>
      </w:pPr>
      <w:r w:rsidRPr="00A01F77">
        <w:rPr>
          <w:rFonts w:ascii="Arial" w:hAnsi="Arial" w:cs="Arial"/>
          <w:sz w:val="18"/>
        </w:rPr>
        <w:t xml:space="preserve">Rapports sexuels avec </w:t>
      </w:r>
      <w:r w:rsidRPr="00113B75">
        <w:rPr>
          <w:rFonts w:ascii="Arial" w:hAnsi="Arial" w:cs="Arial"/>
          <w:sz w:val="18"/>
        </w:rPr>
        <w:t>une personne ayant développé une infection à virus Ebola</w:t>
      </w:r>
      <w:r w:rsidRPr="00A01F77">
        <w:rPr>
          <w:rFonts w:ascii="Arial" w:hAnsi="Arial" w:cs="Arial"/>
          <w:sz w:val="18"/>
        </w:rPr>
        <w:t>, dans les 10 semaines suivant le début des symptômes du cas,</w:t>
      </w:r>
    </w:p>
    <w:p w:rsidR="00D022C1" w:rsidRPr="00D667B7" w:rsidRDefault="00D022C1" w:rsidP="00D022C1">
      <w:pPr>
        <w:spacing w:line="240" w:lineRule="auto"/>
        <w:rPr>
          <w:rFonts w:ascii="Arial" w:hAnsi="Arial" w:cs="Arial"/>
          <w:sz w:val="18"/>
        </w:rPr>
      </w:pPr>
      <w:proofErr w:type="gramStart"/>
      <w:r>
        <w:rPr>
          <w:rFonts w:ascii="Arial" w:hAnsi="Arial" w:cs="Arial"/>
          <w:sz w:val="18"/>
        </w:rPr>
        <w:t>ou</w:t>
      </w:r>
      <w:proofErr w:type="gramEnd"/>
    </w:p>
    <w:p w:rsidR="00D022C1" w:rsidRDefault="00D022C1" w:rsidP="00D022C1">
      <w:pPr>
        <w:pStyle w:val="Paragraphedeliste"/>
        <w:numPr>
          <w:ilvl w:val="0"/>
          <w:numId w:val="1"/>
        </w:numPr>
        <w:spacing w:line="240" w:lineRule="auto"/>
        <w:rPr>
          <w:rFonts w:ascii="Arial" w:hAnsi="Arial" w:cs="Arial"/>
          <w:sz w:val="18"/>
        </w:rPr>
      </w:pPr>
      <w:r>
        <w:rPr>
          <w:rFonts w:ascii="Arial" w:hAnsi="Arial" w:cs="Arial"/>
          <w:sz w:val="18"/>
        </w:rPr>
        <w:t>Pour laquelle il est impossible d’évaluer l’existence d’expositions à risque (patient non interrogeable</w:t>
      </w:r>
      <w:r w:rsidR="00A10885">
        <w:rPr>
          <w:rFonts w:ascii="Arial" w:hAnsi="Arial" w:cs="Arial"/>
          <w:sz w:val="18"/>
        </w:rPr>
        <w:t xml:space="preserve"> quelle qu’en soit la raison</w:t>
      </w:r>
      <w:r>
        <w:rPr>
          <w:rFonts w:ascii="Arial" w:hAnsi="Arial" w:cs="Arial"/>
          <w:sz w:val="18"/>
        </w:rPr>
        <w:t>, ou opposant aux questions par exemple).</w:t>
      </w:r>
    </w:p>
    <w:p w:rsidR="00D022C1" w:rsidRPr="00A01F77" w:rsidRDefault="00D022C1" w:rsidP="00D022C1">
      <w:pPr>
        <w:pStyle w:val="Paragraphedeliste"/>
        <w:spacing w:line="240" w:lineRule="auto"/>
        <w:rPr>
          <w:rFonts w:ascii="Arial" w:hAnsi="Arial" w:cs="Arial"/>
          <w:sz w:val="18"/>
        </w:rPr>
      </w:pPr>
    </w:p>
    <w:p w:rsidR="009435BA" w:rsidRDefault="009435BA" w:rsidP="009435BA">
      <w:pPr>
        <w:spacing w:line="240" w:lineRule="auto"/>
        <w:rPr>
          <w:rFonts w:ascii="Arial" w:hAnsi="Arial" w:cs="Arial"/>
          <w:sz w:val="18"/>
        </w:rPr>
      </w:pPr>
    </w:p>
    <w:p w:rsidR="00B3447F" w:rsidRDefault="00B3447F" w:rsidP="009435BA">
      <w:pPr>
        <w:spacing w:line="240" w:lineRule="auto"/>
        <w:rPr>
          <w:rFonts w:ascii="Arial" w:hAnsi="Arial" w:cs="Arial"/>
          <w:sz w:val="18"/>
        </w:rPr>
      </w:pPr>
    </w:p>
    <w:tbl>
      <w:tblPr>
        <w:tblStyle w:val="Grilledutableau"/>
        <w:tblW w:w="0" w:type="auto"/>
        <w:tblLook w:val="04A0" w:firstRow="1" w:lastRow="0" w:firstColumn="1" w:lastColumn="0" w:noHBand="0" w:noVBand="1"/>
      </w:tblPr>
      <w:tblGrid>
        <w:gridCol w:w="9212"/>
      </w:tblGrid>
      <w:tr w:rsidR="002D10C4" w:rsidTr="002D10C4">
        <w:tc>
          <w:tcPr>
            <w:tcW w:w="9212" w:type="dxa"/>
          </w:tcPr>
          <w:p w:rsidR="002D10C4" w:rsidRDefault="002D10C4" w:rsidP="002D10C4">
            <w:pPr>
              <w:spacing w:line="360" w:lineRule="auto"/>
              <w:rPr>
                <w:rFonts w:ascii="Arial" w:hAnsi="Arial" w:cs="Arial"/>
                <w:sz w:val="18"/>
              </w:rPr>
            </w:pPr>
          </w:p>
          <w:p w:rsidR="002D10C4" w:rsidRPr="00920771" w:rsidRDefault="002D10C4" w:rsidP="002D10C4">
            <w:pPr>
              <w:spacing w:line="360" w:lineRule="auto"/>
              <w:rPr>
                <w:rFonts w:ascii="Arial" w:hAnsi="Arial" w:cs="Arial"/>
                <w:b/>
                <w:sz w:val="18"/>
              </w:rPr>
            </w:pPr>
            <w:r w:rsidRPr="00920771">
              <w:rPr>
                <w:rFonts w:ascii="Arial" w:hAnsi="Arial" w:cs="Arial"/>
                <w:b/>
                <w:sz w:val="18"/>
              </w:rPr>
              <w:t>Si un patient ne peut pas être exclu au terme de l’investigation, il convient de réaliser une concertation (sous la forme d’une conférence téléphonique) associant le médecin en charge du cas au moment du signalement, l’infectiologue de l’établissement de référence, l’InVS et l’ARS.</w:t>
            </w:r>
          </w:p>
          <w:p w:rsidR="002D10C4" w:rsidRDefault="002D10C4" w:rsidP="009435BA">
            <w:pPr>
              <w:rPr>
                <w:rFonts w:ascii="Arial" w:hAnsi="Arial" w:cs="Arial"/>
                <w:sz w:val="18"/>
              </w:rPr>
            </w:pPr>
          </w:p>
        </w:tc>
      </w:tr>
    </w:tbl>
    <w:p w:rsidR="002D10C4" w:rsidRDefault="002D10C4" w:rsidP="009435BA">
      <w:pPr>
        <w:spacing w:line="240" w:lineRule="auto"/>
        <w:rPr>
          <w:rFonts w:ascii="Arial" w:hAnsi="Arial" w:cs="Arial"/>
          <w:sz w:val="18"/>
        </w:rPr>
      </w:pPr>
    </w:p>
    <w:p w:rsidR="009435BA" w:rsidRPr="00A01F77" w:rsidRDefault="009435BA" w:rsidP="009435BA">
      <w:pPr>
        <w:pStyle w:val="Paragraphedeliste"/>
        <w:spacing w:line="240" w:lineRule="auto"/>
        <w:rPr>
          <w:rFonts w:ascii="Arial" w:hAnsi="Arial" w:cs="Arial"/>
          <w:sz w:val="18"/>
        </w:rPr>
      </w:pPr>
    </w:p>
    <w:p w:rsidR="00BF0AA4" w:rsidRPr="002D10C4" w:rsidRDefault="005E6EBF" w:rsidP="00BF0AA4">
      <w:pPr>
        <w:spacing w:line="240" w:lineRule="auto"/>
        <w:rPr>
          <w:rFonts w:ascii="Arial" w:hAnsi="Arial" w:cs="Arial"/>
          <w:b/>
          <w:bCs/>
          <w:sz w:val="20"/>
        </w:rPr>
      </w:pPr>
      <w:r>
        <w:rPr>
          <w:rFonts w:ascii="Arial" w:hAnsi="Arial" w:cs="Arial"/>
          <w:b/>
          <w:bCs/>
          <w:sz w:val="20"/>
        </w:rPr>
        <w:t>Cas</w:t>
      </w:r>
      <w:r w:rsidR="00BF0AA4" w:rsidRPr="002D10C4">
        <w:rPr>
          <w:rFonts w:ascii="Arial" w:hAnsi="Arial" w:cs="Arial"/>
          <w:b/>
          <w:bCs/>
          <w:sz w:val="20"/>
        </w:rPr>
        <w:t xml:space="preserve"> confirmé</w:t>
      </w:r>
    </w:p>
    <w:p w:rsidR="00F87260" w:rsidRPr="00A01F77" w:rsidRDefault="00F87260" w:rsidP="00F87260">
      <w:pPr>
        <w:spacing w:line="240" w:lineRule="auto"/>
        <w:rPr>
          <w:rFonts w:ascii="Arial" w:hAnsi="Arial" w:cs="Arial"/>
          <w:sz w:val="18"/>
        </w:rPr>
      </w:pPr>
      <w:r w:rsidRPr="00A01F77">
        <w:rPr>
          <w:rFonts w:ascii="Arial" w:hAnsi="Arial" w:cs="Arial"/>
          <w:sz w:val="18"/>
        </w:rPr>
        <w:t xml:space="preserve">Un </w:t>
      </w:r>
      <w:r>
        <w:rPr>
          <w:rFonts w:ascii="Arial" w:hAnsi="Arial" w:cs="Arial"/>
          <w:sz w:val="18"/>
        </w:rPr>
        <w:t>patient</w:t>
      </w:r>
      <w:r w:rsidRPr="00A01F77">
        <w:rPr>
          <w:rFonts w:ascii="Arial" w:hAnsi="Arial" w:cs="Arial"/>
          <w:sz w:val="18"/>
        </w:rPr>
        <w:t xml:space="preserve"> confirmé est défini </w:t>
      </w:r>
      <w:r>
        <w:rPr>
          <w:rFonts w:ascii="Arial" w:hAnsi="Arial" w:cs="Arial"/>
          <w:sz w:val="18"/>
        </w:rPr>
        <w:t>chez</w:t>
      </w:r>
      <w:r w:rsidRPr="00A01F77">
        <w:rPr>
          <w:rFonts w:ascii="Arial" w:hAnsi="Arial" w:cs="Arial"/>
          <w:sz w:val="18"/>
        </w:rPr>
        <w:t xml:space="preserve"> toute personne </w:t>
      </w:r>
      <w:r>
        <w:rPr>
          <w:rFonts w:ascii="Arial" w:hAnsi="Arial" w:cs="Arial"/>
          <w:sz w:val="18"/>
        </w:rPr>
        <w:t>pour laquelle on dispose d’</w:t>
      </w:r>
      <w:r w:rsidRPr="00A01F77">
        <w:rPr>
          <w:rFonts w:ascii="Arial" w:hAnsi="Arial" w:cs="Arial"/>
          <w:sz w:val="18"/>
        </w:rPr>
        <w:t xml:space="preserve">une confirmation biologique d’infection </w:t>
      </w:r>
      <w:r>
        <w:rPr>
          <w:rFonts w:ascii="Arial" w:hAnsi="Arial" w:cs="Arial"/>
          <w:sz w:val="18"/>
        </w:rPr>
        <w:t>par le</w:t>
      </w:r>
      <w:r w:rsidRPr="00A01F77">
        <w:rPr>
          <w:rFonts w:ascii="Arial" w:hAnsi="Arial" w:cs="Arial"/>
          <w:sz w:val="18"/>
        </w:rPr>
        <w:t xml:space="preserve"> virus Ebola réalisée par le CNR des Fièvres hémorragiques virales (</w:t>
      </w:r>
      <w:proofErr w:type="spellStart"/>
      <w:r w:rsidRPr="00A01F77">
        <w:rPr>
          <w:rFonts w:ascii="Arial" w:hAnsi="Arial" w:cs="Arial"/>
          <w:sz w:val="18"/>
        </w:rPr>
        <w:t>FHV</w:t>
      </w:r>
      <w:proofErr w:type="spellEnd"/>
      <w:r w:rsidRPr="00A01F77">
        <w:rPr>
          <w:rFonts w:ascii="Arial" w:hAnsi="Arial" w:cs="Arial"/>
          <w:sz w:val="18"/>
        </w:rPr>
        <w:t>).</w:t>
      </w:r>
    </w:p>
    <w:p w:rsidR="004B0382" w:rsidRDefault="004B0382" w:rsidP="004B0382">
      <w:pPr>
        <w:spacing w:line="240" w:lineRule="auto"/>
        <w:rPr>
          <w:rFonts w:ascii="Arial" w:hAnsi="Arial" w:cs="Arial"/>
          <w:sz w:val="18"/>
        </w:rPr>
      </w:pPr>
    </w:p>
    <w:p w:rsidR="001859BF" w:rsidRPr="008066CC" w:rsidRDefault="005E6EBF" w:rsidP="004B0382">
      <w:pPr>
        <w:spacing w:line="240" w:lineRule="auto"/>
        <w:rPr>
          <w:b/>
        </w:rPr>
      </w:pPr>
      <w:r>
        <w:rPr>
          <w:b/>
        </w:rPr>
        <w:t>Cas</w:t>
      </w:r>
      <w:r w:rsidR="008066CC" w:rsidRPr="008066CC">
        <w:rPr>
          <w:b/>
        </w:rPr>
        <w:t xml:space="preserve"> exclu</w:t>
      </w:r>
    </w:p>
    <w:p w:rsidR="006B1FF8" w:rsidRDefault="008066CC">
      <w:pPr>
        <w:rPr>
          <w:rFonts w:ascii="Arial" w:hAnsi="Arial" w:cs="Arial"/>
          <w:sz w:val="18"/>
          <w:szCs w:val="18"/>
        </w:rPr>
      </w:pPr>
      <w:r w:rsidRPr="008066CC">
        <w:rPr>
          <w:rFonts w:ascii="Arial" w:hAnsi="Arial" w:cs="Arial"/>
          <w:sz w:val="18"/>
          <w:szCs w:val="18"/>
        </w:rPr>
        <w:t xml:space="preserve">Un </w:t>
      </w:r>
      <w:r w:rsidR="00BC58B7">
        <w:rPr>
          <w:rFonts w:ascii="Arial" w:hAnsi="Arial" w:cs="Arial"/>
          <w:sz w:val="18"/>
          <w:szCs w:val="18"/>
        </w:rPr>
        <w:t>paient</w:t>
      </w:r>
      <w:r w:rsidRPr="008066CC">
        <w:rPr>
          <w:rFonts w:ascii="Arial" w:hAnsi="Arial" w:cs="Arial"/>
          <w:sz w:val="18"/>
          <w:szCs w:val="18"/>
        </w:rPr>
        <w:t xml:space="preserve"> est exclu </w:t>
      </w:r>
    </w:p>
    <w:p w:rsidR="006B1FF8" w:rsidRDefault="006B1FF8">
      <w:pPr>
        <w:rPr>
          <w:rFonts w:ascii="Arial" w:hAnsi="Arial" w:cs="Arial"/>
          <w:sz w:val="18"/>
          <w:szCs w:val="18"/>
        </w:rPr>
      </w:pPr>
      <w:r>
        <w:rPr>
          <w:rFonts w:ascii="Arial" w:hAnsi="Arial" w:cs="Arial"/>
          <w:sz w:val="18"/>
          <w:szCs w:val="18"/>
        </w:rPr>
        <w:t xml:space="preserve">- </w:t>
      </w:r>
      <w:r w:rsidR="008066CC" w:rsidRPr="008066CC">
        <w:rPr>
          <w:rFonts w:ascii="Arial" w:hAnsi="Arial" w:cs="Arial"/>
          <w:sz w:val="18"/>
          <w:szCs w:val="18"/>
        </w:rPr>
        <w:t xml:space="preserve">s’il ne </w:t>
      </w:r>
      <w:r>
        <w:rPr>
          <w:rFonts w:ascii="Arial" w:hAnsi="Arial" w:cs="Arial"/>
          <w:sz w:val="18"/>
          <w:szCs w:val="18"/>
        </w:rPr>
        <w:t>remplit pas les critères pour être un cas suspect, ou</w:t>
      </w:r>
    </w:p>
    <w:p w:rsidR="006B1FF8" w:rsidRDefault="006B1FF8">
      <w:pPr>
        <w:rPr>
          <w:rFonts w:ascii="Arial" w:hAnsi="Arial" w:cs="Arial"/>
          <w:sz w:val="18"/>
          <w:szCs w:val="18"/>
        </w:rPr>
      </w:pPr>
      <w:r>
        <w:rPr>
          <w:rFonts w:ascii="Arial" w:hAnsi="Arial" w:cs="Arial"/>
          <w:sz w:val="18"/>
          <w:szCs w:val="18"/>
        </w:rPr>
        <w:t xml:space="preserve">- </w:t>
      </w:r>
      <w:r w:rsidR="00532D7F">
        <w:rPr>
          <w:rFonts w:ascii="Arial" w:hAnsi="Arial" w:cs="Arial"/>
          <w:sz w:val="18"/>
          <w:szCs w:val="18"/>
        </w:rPr>
        <w:t xml:space="preserve">s’il répond à la définition de cas suspect mais pas </w:t>
      </w:r>
      <w:r>
        <w:rPr>
          <w:rFonts w:ascii="Arial" w:hAnsi="Arial" w:cs="Arial"/>
          <w:sz w:val="18"/>
          <w:szCs w:val="18"/>
        </w:rPr>
        <w:t xml:space="preserve">à celle </w:t>
      </w:r>
      <w:r w:rsidR="00532D7F">
        <w:rPr>
          <w:rFonts w:ascii="Arial" w:hAnsi="Arial" w:cs="Arial"/>
          <w:sz w:val="18"/>
          <w:szCs w:val="18"/>
        </w:rPr>
        <w:t>de cas possible</w:t>
      </w:r>
      <w:r>
        <w:rPr>
          <w:rFonts w:ascii="Arial" w:hAnsi="Arial" w:cs="Arial"/>
          <w:sz w:val="18"/>
          <w:szCs w:val="18"/>
        </w:rPr>
        <w:t>, ou</w:t>
      </w:r>
    </w:p>
    <w:p w:rsidR="00E7344D" w:rsidRDefault="006B1FF8">
      <w:pPr>
        <w:rPr>
          <w:rFonts w:ascii="Arial" w:hAnsi="Arial" w:cs="Arial"/>
          <w:sz w:val="18"/>
          <w:szCs w:val="18"/>
        </w:rPr>
      </w:pPr>
      <w:r>
        <w:rPr>
          <w:rFonts w:ascii="Arial" w:hAnsi="Arial" w:cs="Arial"/>
          <w:sz w:val="18"/>
          <w:szCs w:val="18"/>
        </w:rPr>
        <w:t>- si le</w:t>
      </w:r>
      <w:r w:rsidR="008066CC" w:rsidRPr="008066CC">
        <w:rPr>
          <w:rFonts w:ascii="Arial" w:hAnsi="Arial" w:cs="Arial"/>
          <w:sz w:val="18"/>
          <w:szCs w:val="18"/>
        </w:rPr>
        <w:t xml:space="preserve"> diagnostic d’infection </w:t>
      </w:r>
      <w:r>
        <w:rPr>
          <w:rFonts w:ascii="Arial" w:hAnsi="Arial" w:cs="Arial"/>
          <w:sz w:val="18"/>
          <w:szCs w:val="18"/>
        </w:rPr>
        <w:t xml:space="preserve">par le virus Ebola </w:t>
      </w:r>
      <w:r w:rsidR="008066CC" w:rsidRPr="008066CC">
        <w:rPr>
          <w:rFonts w:ascii="Arial" w:hAnsi="Arial" w:cs="Arial"/>
          <w:sz w:val="18"/>
          <w:szCs w:val="18"/>
        </w:rPr>
        <w:t xml:space="preserve">a été </w:t>
      </w:r>
      <w:r>
        <w:rPr>
          <w:rFonts w:ascii="Arial" w:hAnsi="Arial" w:cs="Arial"/>
          <w:sz w:val="18"/>
          <w:szCs w:val="18"/>
        </w:rPr>
        <w:t>biologiquement écarté</w:t>
      </w:r>
      <w:r w:rsidR="008066CC" w:rsidRPr="008066CC">
        <w:rPr>
          <w:rFonts w:ascii="Arial" w:hAnsi="Arial" w:cs="Arial"/>
          <w:sz w:val="18"/>
          <w:szCs w:val="18"/>
        </w:rPr>
        <w:t xml:space="preserve"> par le CNR</w:t>
      </w:r>
    </w:p>
    <w:p w:rsidR="007C68F9" w:rsidRDefault="007C68F9">
      <w:pPr>
        <w:rPr>
          <w:rFonts w:ascii="Arial" w:hAnsi="Arial" w:cs="Arial"/>
          <w:sz w:val="18"/>
          <w:szCs w:val="18"/>
        </w:rPr>
      </w:pPr>
      <w:bookmarkStart w:id="0" w:name="_GoBack"/>
      <w:bookmarkEnd w:id="0"/>
    </w:p>
    <w:p w:rsidR="00577AC6" w:rsidRDefault="00577AC6" w:rsidP="00577AC6">
      <w:pPr>
        <w:rPr>
          <w:rFonts w:ascii="Arial" w:hAnsi="Arial" w:cs="Arial"/>
          <w:sz w:val="18"/>
          <w:szCs w:val="18"/>
        </w:rPr>
      </w:pPr>
      <w:r w:rsidRPr="008054D0">
        <w:rPr>
          <w:rFonts w:ascii="Arial" w:hAnsi="Arial" w:cs="Arial"/>
          <w:sz w:val="18"/>
          <w:szCs w:val="18"/>
          <w:u w:val="single"/>
        </w:rPr>
        <w:t xml:space="preserve">Figure </w:t>
      </w:r>
      <w:r w:rsidR="00E14334">
        <w:rPr>
          <w:rFonts w:ascii="Arial" w:hAnsi="Arial" w:cs="Arial"/>
          <w:sz w:val="18"/>
          <w:szCs w:val="18"/>
          <w:u w:val="single"/>
        </w:rPr>
        <w:t>1</w:t>
      </w:r>
      <w:r>
        <w:rPr>
          <w:rFonts w:ascii="Arial" w:hAnsi="Arial" w:cs="Arial"/>
          <w:sz w:val="18"/>
          <w:szCs w:val="18"/>
        </w:rPr>
        <w:t> : Zone touchée par l’épidémie d’infections à Ebola en Afrique de l’Ouest et en République Démocratique du Congo</w:t>
      </w:r>
    </w:p>
    <w:p w:rsidR="003347F7" w:rsidRPr="008066CC" w:rsidRDefault="00577AC6">
      <w:pPr>
        <w:rPr>
          <w:rFonts w:ascii="Arial" w:hAnsi="Arial" w:cs="Arial"/>
          <w:sz w:val="18"/>
          <w:szCs w:val="18"/>
        </w:rPr>
      </w:pPr>
      <w:r>
        <w:rPr>
          <w:noProof/>
          <w:lang w:eastAsia="fr-FR"/>
        </w:rPr>
        <w:drawing>
          <wp:inline distT="0" distB="0" distL="0" distR="0" wp14:anchorId="2AA690FD" wp14:editId="531507D6">
            <wp:extent cx="5759450" cy="40669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la2014_0409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4066949"/>
                    </a:xfrm>
                    <a:prstGeom prst="rect">
                      <a:avLst/>
                    </a:prstGeom>
                  </pic:spPr>
                </pic:pic>
              </a:graphicData>
            </a:graphic>
          </wp:inline>
        </w:drawing>
      </w:r>
    </w:p>
    <w:sectPr w:rsidR="003347F7" w:rsidRPr="008066CC" w:rsidSect="00F07427">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7B79"/>
    <w:multiLevelType w:val="hybridMultilevel"/>
    <w:tmpl w:val="4B6A7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0208FB"/>
    <w:multiLevelType w:val="hybridMultilevel"/>
    <w:tmpl w:val="C49C0A96"/>
    <w:lvl w:ilvl="0" w:tplc="86DE6C22">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A4"/>
    <w:rsid w:val="00021922"/>
    <w:rsid w:val="000973E3"/>
    <w:rsid w:val="001859BF"/>
    <w:rsid w:val="001C0CE1"/>
    <w:rsid w:val="001D4F55"/>
    <w:rsid w:val="002D10C4"/>
    <w:rsid w:val="002F21CD"/>
    <w:rsid w:val="003347F7"/>
    <w:rsid w:val="0036413E"/>
    <w:rsid w:val="003F7C42"/>
    <w:rsid w:val="004B0382"/>
    <w:rsid w:val="00532D7F"/>
    <w:rsid w:val="00565660"/>
    <w:rsid w:val="00577AC6"/>
    <w:rsid w:val="005E6EBF"/>
    <w:rsid w:val="006A43BD"/>
    <w:rsid w:val="006B1FF8"/>
    <w:rsid w:val="00701A9E"/>
    <w:rsid w:val="00704EAA"/>
    <w:rsid w:val="00791B59"/>
    <w:rsid w:val="007C0088"/>
    <w:rsid w:val="007C68F9"/>
    <w:rsid w:val="008066CC"/>
    <w:rsid w:val="00823343"/>
    <w:rsid w:val="00896F95"/>
    <w:rsid w:val="00920771"/>
    <w:rsid w:val="009435BA"/>
    <w:rsid w:val="009C49AB"/>
    <w:rsid w:val="00A10885"/>
    <w:rsid w:val="00B3447F"/>
    <w:rsid w:val="00BC58B7"/>
    <w:rsid w:val="00BD4DB4"/>
    <w:rsid w:val="00BF0AA4"/>
    <w:rsid w:val="00C37456"/>
    <w:rsid w:val="00CE1EFD"/>
    <w:rsid w:val="00D022C1"/>
    <w:rsid w:val="00D667B7"/>
    <w:rsid w:val="00DB49F2"/>
    <w:rsid w:val="00DD5206"/>
    <w:rsid w:val="00DF6F8B"/>
    <w:rsid w:val="00E14334"/>
    <w:rsid w:val="00E7344D"/>
    <w:rsid w:val="00EB0930"/>
    <w:rsid w:val="00F07427"/>
    <w:rsid w:val="00F82255"/>
    <w:rsid w:val="00F87260"/>
    <w:rsid w:val="00F94D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0AA4"/>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219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922"/>
    <w:rPr>
      <w:rFonts w:ascii="Tahoma" w:hAnsi="Tahoma" w:cs="Tahoma"/>
      <w:sz w:val="16"/>
      <w:szCs w:val="16"/>
    </w:rPr>
  </w:style>
  <w:style w:type="table" w:styleId="Grilledutableau">
    <w:name w:val="Table Grid"/>
    <w:basedOn w:val="TableauNormal"/>
    <w:uiPriority w:val="59"/>
    <w:rsid w:val="006A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0AA4"/>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219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1922"/>
    <w:rPr>
      <w:rFonts w:ascii="Tahoma" w:hAnsi="Tahoma" w:cs="Tahoma"/>
      <w:sz w:val="16"/>
      <w:szCs w:val="16"/>
    </w:rPr>
  </w:style>
  <w:style w:type="table" w:styleId="Grilledutableau">
    <w:name w:val="Table Grid"/>
    <w:basedOn w:val="TableauNormal"/>
    <w:uiPriority w:val="59"/>
    <w:rsid w:val="006A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MAILLES Alexandra</dc:creator>
  <cp:lastModifiedBy>MAILLES Alexandra</cp:lastModifiedBy>
  <cp:revision>3</cp:revision>
  <cp:lastPrinted>2014-08-19T14:18:00Z</cp:lastPrinted>
  <dcterms:created xsi:type="dcterms:W3CDTF">2014-10-20T14:38:00Z</dcterms:created>
  <dcterms:modified xsi:type="dcterms:W3CDTF">2014-10-20T14:44:00Z</dcterms:modified>
</cp:coreProperties>
</file>